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118B" w14:textId="77777777" w:rsidR="00C620E9" w:rsidRPr="001A6D59" w:rsidRDefault="001A6D59">
      <w:pPr>
        <w:rPr>
          <w:rFonts w:ascii="Arial" w:hAnsi="Arial" w:cs="Arial"/>
          <w:b/>
          <w:sz w:val="22"/>
          <w:szCs w:val="22"/>
        </w:rPr>
      </w:pPr>
      <w:r w:rsidRPr="001A6D59">
        <w:rPr>
          <w:rFonts w:ascii="Arial" w:hAnsi="Arial" w:cs="Arial"/>
          <w:b/>
          <w:sz w:val="22"/>
          <w:szCs w:val="22"/>
        </w:rPr>
        <w:t>Data summary for the Mindful Healthcare Scale</w:t>
      </w:r>
    </w:p>
    <w:p w14:paraId="1847CD67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</w:p>
    <w:p w14:paraId="159F9BF9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Scoring:</w:t>
      </w:r>
    </w:p>
    <w:p w14:paraId="272F51BC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</w:p>
    <w:p w14:paraId="5D5F6E90" w14:textId="77777777" w:rsidR="001A6D59" w:rsidRPr="001A6D59" w:rsidRDefault="001A6D59" w:rsidP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 xml:space="preserve">Engaged subscale: Reverse score items 3, 4, and 13 and add them to items 1 and  7. </w:t>
      </w:r>
    </w:p>
    <w:p w14:paraId="31217F47" w14:textId="77777777" w:rsidR="001A6D59" w:rsidRPr="001A6D59" w:rsidRDefault="001A6D59" w:rsidP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(Higher scores = greater engagement)</w:t>
      </w:r>
    </w:p>
    <w:p w14:paraId="6D1C8F05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</w:p>
    <w:p w14:paraId="7BA7B6E9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Awareness subscale: Reverse score items 5 and 10 and add them to items 6, 8, and 12</w:t>
      </w:r>
    </w:p>
    <w:p w14:paraId="6C2111D6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 xml:space="preserve">(Higher scores = greater awareness) </w:t>
      </w:r>
    </w:p>
    <w:p w14:paraId="4BB62F0F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</w:p>
    <w:p w14:paraId="27383714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Defusion subscale: Reverse score and sum items 2, 9, 11</w:t>
      </w:r>
    </w:p>
    <w:p w14:paraId="32A5D1EF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(Higher scores = less fusion / greater defusion)</w:t>
      </w:r>
    </w:p>
    <w:p w14:paraId="1E73853C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</w:p>
    <w:p w14:paraId="50CB063E" w14:textId="77777777" w:rsidR="001A6D59" w:rsidRPr="001A6D59" w:rsidRDefault="001A6D59">
      <w:pPr>
        <w:rPr>
          <w:rFonts w:ascii="Arial" w:hAnsi="Arial" w:cs="Arial"/>
          <w:sz w:val="22"/>
          <w:szCs w:val="22"/>
        </w:rPr>
      </w:pPr>
      <w:r w:rsidRPr="001A6D59">
        <w:rPr>
          <w:rFonts w:ascii="Arial" w:hAnsi="Arial" w:cs="Arial"/>
          <w:sz w:val="22"/>
          <w:szCs w:val="22"/>
        </w:rPr>
        <w:t>Total score = sum all items, after doing the reversals described above</w:t>
      </w:r>
    </w:p>
    <w:p w14:paraId="17BB6240" w14:textId="4C763F44" w:rsidR="001A6D59" w:rsidRDefault="001A6D59">
      <w:pPr>
        <w:rPr>
          <w:rFonts w:ascii="Arial" w:hAnsi="Arial" w:cs="Arial"/>
          <w:sz w:val="22"/>
          <w:szCs w:val="22"/>
        </w:rPr>
      </w:pPr>
    </w:p>
    <w:p w14:paraId="6F65F482" w14:textId="03C19AFC" w:rsidR="00D17FBC" w:rsidRDefault="00075B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Normative Data:</w:t>
      </w:r>
    </w:p>
    <w:p w14:paraId="356366A0" w14:textId="4164E0FD" w:rsidR="00075BEB" w:rsidRDefault="00075BEB">
      <w:pPr>
        <w:rPr>
          <w:rFonts w:ascii="Arial" w:hAnsi="Arial" w:cs="Arial"/>
          <w:sz w:val="22"/>
          <w:szCs w:val="22"/>
        </w:rPr>
      </w:pPr>
    </w:p>
    <w:p w14:paraId="56183415" w14:textId="160D71FA" w:rsidR="00075BEB" w:rsidRDefault="00075B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 1: n = </w:t>
      </w:r>
      <w:r w:rsidR="005567F1">
        <w:rPr>
          <w:rFonts w:ascii="Arial" w:hAnsi="Arial" w:cs="Arial"/>
          <w:sz w:val="22"/>
          <w:szCs w:val="22"/>
        </w:rPr>
        <w:t>480</w:t>
      </w:r>
    </w:p>
    <w:p w14:paraId="1CDA4A7B" w14:textId="7D680F2C" w:rsidR="005567F1" w:rsidRDefault="005567F1">
      <w:pPr>
        <w:rPr>
          <w:rFonts w:ascii="Arial" w:hAnsi="Arial" w:cs="Arial"/>
          <w:sz w:val="22"/>
          <w:szCs w:val="22"/>
        </w:rPr>
      </w:pPr>
    </w:p>
    <w:p w14:paraId="51CD5F44" w14:textId="77777777" w:rsidR="00E0402A" w:rsidRPr="00E0402A" w:rsidRDefault="00E0402A" w:rsidP="00E040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937"/>
        <w:gridCol w:w="1476"/>
        <w:gridCol w:w="1476"/>
        <w:gridCol w:w="1476"/>
        <w:gridCol w:w="1476"/>
      </w:tblGrid>
      <w:tr w:rsidR="00E0402A" w:rsidRPr="00E0402A" w14:paraId="1AB4C445" w14:textId="77777777">
        <w:trPr>
          <w:cantSplit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C9D20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 w:rsidRPr="00E0402A"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Statistics</w:t>
            </w:r>
          </w:p>
        </w:tc>
      </w:tr>
      <w:tr w:rsidR="00E0402A" w:rsidRPr="00E0402A" w14:paraId="75A22ED0" w14:textId="77777777">
        <w:trPr>
          <w:cantSplit/>
        </w:trPr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DA5745" w14:textId="77777777" w:rsidR="00E0402A" w:rsidRPr="00E0402A" w:rsidRDefault="00E0402A" w:rsidP="00E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52C17E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MHS Total Score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D5C6EE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MHS Engaged Subscale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3D6F3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MHS Awareness Subscale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E0EAF2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MHS Defusion Subscale</w:t>
            </w:r>
          </w:p>
        </w:tc>
      </w:tr>
      <w:tr w:rsidR="00E0402A" w:rsidRPr="00E0402A" w14:paraId="0FDCBFD7" w14:textId="77777777">
        <w:trPr>
          <w:cantSplit/>
        </w:trPr>
        <w:tc>
          <w:tcPr>
            <w:tcW w:w="1245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EAC6C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N</w:t>
            </w:r>
          </w:p>
        </w:tc>
        <w:tc>
          <w:tcPr>
            <w:tcW w:w="9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D91C81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Valid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77B00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480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66578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480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FAED2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480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327C71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480</w:t>
            </w:r>
          </w:p>
        </w:tc>
      </w:tr>
      <w:tr w:rsidR="00E0402A" w:rsidRPr="00E0402A" w14:paraId="5E8B30B7" w14:textId="77777777">
        <w:trPr>
          <w:cantSplit/>
        </w:trPr>
        <w:tc>
          <w:tcPr>
            <w:tcW w:w="1245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844D8" w14:textId="77777777" w:rsidR="00E0402A" w:rsidRPr="00E0402A" w:rsidRDefault="00E0402A" w:rsidP="00E0402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</w:rPr>
            </w:pPr>
          </w:p>
        </w:tc>
        <w:tc>
          <w:tcPr>
            <w:tcW w:w="9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35CC9E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Missing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77B14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97227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D0B5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0A271C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0</w:t>
            </w:r>
          </w:p>
        </w:tc>
      </w:tr>
      <w:tr w:rsidR="00E0402A" w:rsidRPr="00E0402A" w14:paraId="19DDCA91" w14:textId="77777777">
        <w:trPr>
          <w:cantSplit/>
        </w:trPr>
        <w:tc>
          <w:tcPr>
            <w:tcW w:w="21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D8CAA1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2366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62.0042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E55A0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25.8646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7C227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22.7417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2022A5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13.3979</w:t>
            </w:r>
          </w:p>
        </w:tc>
      </w:tr>
      <w:tr w:rsidR="00E0402A" w:rsidRPr="00E0402A" w14:paraId="77CD4862" w14:textId="77777777">
        <w:trPr>
          <w:cantSplit/>
        </w:trPr>
        <w:tc>
          <w:tcPr>
            <w:tcW w:w="21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B0E01C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27E4B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6.56237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3E149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3.24767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65F6C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3.29736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78B07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3.05926</w:t>
            </w:r>
          </w:p>
        </w:tc>
      </w:tr>
      <w:tr w:rsidR="00E0402A" w:rsidRPr="00E0402A" w14:paraId="7B6DEA68" w14:textId="77777777">
        <w:trPr>
          <w:cantSplit/>
        </w:trPr>
        <w:tc>
          <w:tcPr>
            <w:tcW w:w="21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EC453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Minimum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E6D35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35.00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067E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11.00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F57CC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11.00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47F423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3.00</w:t>
            </w:r>
          </w:p>
        </w:tc>
      </w:tr>
      <w:tr w:rsidR="00E0402A" w:rsidRPr="00E0402A" w14:paraId="0D264AEB" w14:textId="77777777">
        <w:trPr>
          <w:cantSplit/>
        </w:trPr>
        <w:tc>
          <w:tcPr>
            <w:tcW w:w="218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6962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Maximum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C7365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76.00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3E03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30.00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DF88B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30.00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54E6C8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18.00</w:t>
            </w:r>
          </w:p>
        </w:tc>
      </w:tr>
      <w:tr w:rsidR="00E0402A" w:rsidRPr="00E0402A" w14:paraId="6ABABEF8" w14:textId="77777777">
        <w:trPr>
          <w:cantSplit/>
        </w:trPr>
        <w:tc>
          <w:tcPr>
            <w:tcW w:w="12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14DF0F" w14:textId="2AF6631F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Percentile</w:t>
            </w:r>
          </w:p>
        </w:tc>
        <w:tc>
          <w:tcPr>
            <w:tcW w:w="9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DF313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25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31BA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58.0000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9E51D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24.0000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74987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21.0000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9C782B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12.0000</w:t>
            </w:r>
          </w:p>
        </w:tc>
      </w:tr>
      <w:tr w:rsidR="00E0402A" w:rsidRPr="00E0402A" w14:paraId="62C24738" w14:textId="77777777">
        <w:trPr>
          <w:cantSplit/>
        </w:trPr>
        <w:tc>
          <w:tcPr>
            <w:tcW w:w="12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3D1686" w14:textId="77777777" w:rsidR="00E0402A" w:rsidRPr="00E0402A" w:rsidRDefault="00E0402A" w:rsidP="00E0402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</w:rPr>
            </w:pPr>
          </w:p>
        </w:tc>
        <w:tc>
          <w:tcPr>
            <w:tcW w:w="9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95DD3B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50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5165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62.0000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8109A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26.0000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1D8D6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23.0000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D84B00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14.0000</w:t>
            </w:r>
          </w:p>
        </w:tc>
      </w:tr>
      <w:tr w:rsidR="00E0402A" w:rsidRPr="00E0402A" w14:paraId="29172FE7" w14:textId="77777777">
        <w:trPr>
          <w:cantSplit/>
        </w:trPr>
        <w:tc>
          <w:tcPr>
            <w:tcW w:w="12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3311E0" w14:textId="77777777" w:rsidR="00E0402A" w:rsidRPr="00E0402A" w:rsidRDefault="00E0402A" w:rsidP="00E0402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205"/>
              </w:rPr>
            </w:pPr>
          </w:p>
        </w:tc>
        <w:tc>
          <w:tcPr>
            <w:tcW w:w="9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4192B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</w:rPr>
            </w:pPr>
            <w:r w:rsidRPr="00E0402A">
              <w:rPr>
                <w:rFonts w:ascii="Arial" w:hAnsi="Arial" w:cs="Arial"/>
                <w:color w:val="264A60"/>
              </w:rPr>
              <w:t>75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A77118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67.0000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AA790B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28.0000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F24DDF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25.0000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A24AA9" w14:textId="77777777" w:rsidR="00E0402A" w:rsidRPr="00E0402A" w:rsidRDefault="00E0402A" w:rsidP="00E040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</w:rPr>
            </w:pPr>
            <w:r w:rsidRPr="00E0402A">
              <w:rPr>
                <w:rFonts w:ascii="Arial" w:hAnsi="Arial" w:cs="Arial"/>
                <w:color w:val="010205"/>
              </w:rPr>
              <w:t>15.0000</w:t>
            </w:r>
          </w:p>
        </w:tc>
      </w:tr>
    </w:tbl>
    <w:p w14:paraId="79958A28" w14:textId="77777777" w:rsidR="00E0402A" w:rsidRPr="00E0402A" w:rsidRDefault="00E0402A" w:rsidP="00E0402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1C1AF78F" w14:textId="77777777" w:rsidR="005567F1" w:rsidRPr="001A6D59" w:rsidRDefault="005567F1">
      <w:pPr>
        <w:rPr>
          <w:rFonts w:ascii="Arial" w:hAnsi="Arial" w:cs="Arial"/>
          <w:sz w:val="22"/>
          <w:szCs w:val="22"/>
        </w:rPr>
      </w:pPr>
    </w:p>
    <w:sectPr w:rsidR="005567F1" w:rsidRPr="001A6D59" w:rsidSect="00D17F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30F13"/>
    <w:multiLevelType w:val="hybridMultilevel"/>
    <w:tmpl w:val="86F0128E"/>
    <w:lvl w:ilvl="0" w:tplc="DA8E2986">
      <w:start w:val="1"/>
      <w:numFmt w:val="decimal"/>
      <w:lvlText w:val="%1."/>
      <w:lvlJc w:val="left"/>
      <w:pPr>
        <w:ind w:left="439" w:hanging="360"/>
      </w:pPr>
      <w:rPr>
        <w:rFonts w:ascii="Calibri" w:hAnsi="Calibri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59"/>
    <w:rsid w:val="0006616E"/>
    <w:rsid w:val="00075BEB"/>
    <w:rsid w:val="00081F07"/>
    <w:rsid w:val="000D4CB6"/>
    <w:rsid w:val="00106F53"/>
    <w:rsid w:val="00112136"/>
    <w:rsid w:val="00143F27"/>
    <w:rsid w:val="001A6D59"/>
    <w:rsid w:val="001C6624"/>
    <w:rsid w:val="001E2580"/>
    <w:rsid w:val="001F6904"/>
    <w:rsid w:val="002A7920"/>
    <w:rsid w:val="002D268D"/>
    <w:rsid w:val="00300334"/>
    <w:rsid w:val="00365614"/>
    <w:rsid w:val="004B0E99"/>
    <w:rsid w:val="004D080B"/>
    <w:rsid w:val="004E62D7"/>
    <w:rsid w:val="0050343A"/>
    <w:rsid w:val="005567F1"/>
    <w:rsid w:val="00597F2B"/>
    <w:rsid w:val="005E6F31"/>
    <w:rsid w:val="00805F9D"/>
    <w:rsid w:val="0087100D"/>
    <w:rsid w:val="008D2201"/>
    <w:rsid w:val="00990D1A"/>
    <w:rsid w:val="009F49BC"/>
    <w:rsid w:val="00A0672D"/>
    <w:rsid w:val="00A43E77"/>
    <w:rsid w:val="00A5333F"/>
    <w:rsid w:val="00A715E3"/>
    <w:rsid w:val="00AD2199"/>
    <w:rsid w:val="00AF6B72"/>
    <w:rsid w:val="00B606BF"/>
    <w:rsid w:val="00B813D0"/>
    <w:rsid w:val="00C620E9"/>
    <w:rsid w:val="00D04E85"/>
    <w:rsid w:val="00D05FB3"/>
    <w:rsid w:val="00D17FBC"/>
    <w:rsid w:val="00D97B38"/>
    <w:rsid w:val="00DA4393"/>
    <w:rsid w:val="00E0402A"/>
    <w:rsid w:val="00E24558"/>
    <w:rsid w:val="00E40425"/>
    <w:rsid w:val="00E423B3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12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D59"/>
    <w:pPr>
      <w:keepNext/>
      <w:keepLines/>
      <w:spacing w:before="40" w:line="259" w:lineRule="auto"/>
      <w:outlineLvl w:val="3"/>
    </w:pPr>
    <w:rPr>
      <w:rFonts w:ascii="Times New Roman" w:eastAsiaTheme="majorEastAsia" w:hAnsi="Times New Roman" w:cstheme="majorBidi"/>
      <w:i/>
      <w:i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6D59"/>
    <w:rPr>
      <w:rFonts w:ascii="Times New Roman" w:eastAsiaTheme="majorEastAsia" w:hAnsi="Times New Roman" w:cstheme="majorBidi"/>
      <w:i/>
      <w:iCs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1A6D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GILLANDERS David</dc:creator>
  <cp:keywords/>
  <dc:description/>
  <cp:lastModifiedBy>GILLANDERS David</cp:lastModifiedBy>
  <cp:revision>2</cp:revision>
  <dcterms:created xsi:type="dcterms:W3CDTF">2021-04-14T15:22:00Z</dcterms:created>
  <dcterms:modified xsi:type="dcterms:W3CDTF">2021-04-14T15:22:00Z</dcterms:modified>
</cp:coreProperties>
</file>